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C800" w14:textId="32D7A8D7" w:rsidR="00382368" w:rsidRPr="004C2C9D" w:rsidRDefault="00DE5744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1ED752" wp14:editId="2AAB5F13">
                <wp:simplePos x="0" y="0"/>
                <wp:positionH relativeFrom="column">
                  <wp:posOffset>4680585</wp:posOffset>
                </wp:positionH>
                <wp:positionV relativeFrom="paragraph">
                  <wp:posOffset>148590</wp:posOffset>
                </wp:positionV>
                <wp:extent cx="1158240" cy="563880"/>
                <wp:effectExtent l="0" t="0" r="22860" b="26670"/>
                <wp:wrapSquare wrapText="bothSides"/>
                <wp:docPr id="144896433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171B" w14:textId="77777777" w:rsidR="00DE5744" w:rsidRPr="0012367B" w:rsidRDefault="00DE5744" w:rsidP="00DE5744">
                            <w:pPr>
                              <w:spacing w:after="0"/>
                              <w:rPr>
                                <w:highlight w:val="yellow"/>
                                <w:lang w:val="az-Latn-AZ"/>
                              </w:rPr>
                            </w:pPr>
                            <w:r>
                              <w:rPr>
                                <w:highlight w:val="yellow"/>
                                <w:lang w:val="az-Latn-AZ"/>
                              </w:rPr>
                              <w:t>U</w:t>
                            </w:r>
                            <w:r w:rsidRPr="001C2C6E">
                              <w:rPr>
                                <w:highlight w:val="yellow"/>
                              </w:rPr>
                              <w:t>NİVERSİTE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TİN</w:t>
                            </w:r>
                          </w:p>
                          <w:p w14:paraId="373D37F5" w14:textId="77777777" w:rsidR="00DE5744" w:rsidRDefault="00DE5744" w:rsidP="00DE5744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ED75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68.55pt;margin-top:11.7pt;width:91.2pt;height:4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">
                <v:textbox>
                  <w:txbxContent>
                    <w:p w14:paraId="3C02171B" w14:textId="77777777" w:rsidR="00DE5744" w:rsidRPr="0012367B" w:rsidRDefault="00DE5744" w:rsidP="00DE5744">
                      <w:pPr>
                        <w:spacing w:after="0"/>
                        <w:rPr>
                          <w:highlight w:val="yellow"/>
                          <w:lang w:val="az-Latn-AZ"/>
                        </w:rPr>
                      </w:pPr>
                      <w:r>
                        <w:rPr>
                          <w:highlight w:val="yellow"/>
                          <w:lang w:val="az-Latn-AZ"/>
                        </w:rPr>
                        <w:t>U</w:t>
                      </w:r>
                      <w:r w:rsidRPr="001C2C6E">
                        <w:rPr>
                          <w:highlight w:val="yellow"/>
                        </w:rPr>
                        <w:t>NİVERSİTE</w:t>
                      </w:r>
                      <w:r>
                        <w:rPr>
                          <w:highlight w:val="yellow"/>
                          <w:lang w:val="az-Latn-AZ"/>
                        </w:rPr>
                        <w:t>TİN</w:t>
                      </w:r>
                    </w:p>
                    <w:p w14:paraId="373D37F5" w14:textId="77777777" w:rsidR="00DE5744" w:rsidRDefault="00DE5744" w:rsidP="00DE5744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445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34C9EFE" wp14:editId="262EEFEC">
            <wp:simplePos x="0" y="0"/>
            <wp:positionH relativeFrom="column">
              <wp:posOffset>-32385</wp:posOffset>
            </wp:positionH>
            <wp:positionV relativeFrom="paragraph">
              <wp:posOffset>41910</wp:posOffset>
            </wp:positionV>
            <wp:extent cx="866775" cy="803352"/>
            <wp:effectExtent l="0" t="0" r="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37" cy="8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00" w:rsidRPr="004C2C9D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 xml:space="preserve">                                                                                    </w:t>
      </w:r>
    </w:p>
    <w:p w14:paraId="3E630FC1" w14:textId="1BDE2283" w:rsidR="00E60600" w:rsidRPr="004C2C9D" w:rsidRDefault="00E60600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14:paraId="70A753C6" w14:textId="77777777" w:rsidR="00D40FAA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4BA8F91C" w14:textId="2C699731" w:rsidR="00D40FAA" w:rsidRPr="00D40FAA" w:rsidRDefault="00D40FAA" w:rsidP="00D40FAA">
      <w:pPr>
        <w:rPr>
          <w:lang w:val="az-Latn-AZ"/>
        </w:rPr>
      </w:pPr>
    </w:p>
    <w:p w14:paraId="2BE919A6" w14:textId="6AABB499" w:rsidR="00A72445" w:rsidRDefault="00A72445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İKİ TƏRƏFLİ ƏMƏKDAŞLIQ </w:t>
      </w:r>
      <w:r w:rsidR="00D53A76" w:rsidRPr="007C2D11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PROTOKOLU</w:t>
      </w:r>
    </w:p>
    <w:p w14:paraId="7D113FCF" w14:textId="77777777" w:rsidR="00A72445" w:rsidRPr="00A72445" w:rsidRDefault="00A72445" w:rsidP="00E46067">
      <w:pPr>
        <w:ind w:firstLine="180"/>
        <w:rPr>
          <w:lang w:val="az-Latn-AZ"/>
        </w:rPr>
      </w:pPr>
    </w:p>
    <w:p w14:paraId="2E84EF2C" w14:textId="146F17BD" w:rsidR="00E60600" w:rsidRPr="004C2C9D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 w:rsidRPr="00D40FAA"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az-Latn-AZ"/>
        </w:rPr>
        <w:t>.....................................</w:t>
      </w:r>
    </w:p>
    <w:p w14:paraId="009881EF" w14:textId="53AFB98F" w:rsidR="00E60600" w:rsidRPr="004C2C9D" w:rsidRDefault="00A72445" w:rsidP="00E46067">
      <w:pPr>
        <w:pStyle w:val="Balk1"/>
        <w:spacing w:after="240"/>
        <w:ind w:firstLine="180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az-Latn-AZ"/>
        </w:rPr>
        <w:t>və</w:t>
      </w:r>
    </w:p>
    <w:p w14:paraId="62D6ECB9" w14:textId="668CF6FB" w:rsidR="004D4DAB" w:rsidRPr="005A4CB6" w:rsidRDefault="00A72445" w:rsidP="00E46067">
      <w:pPr>
        <w:pStyle w:val="Balk1"/>
        <w:spacing w:after="24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EGE</w:t>
      </w:r>
      <w:r w:rsidR="00E60600" w:rsidRPr="004C2C9D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 UNİVERSİTETİ</w:t>
      </w:r>
    </w:p>
    <w:p w14:paraId="06B276BF" w14:textId="79E8B47F" w:rsidR="004D4DAB" w:rsidRPr="004C2C9D" w:rsidRDefault="00A72445" w:rsidP="00E46067">
      <w:pPr>
        <w:spacing w:after="240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72445">
        <w:rPr>
          <w:rFonts w:ascii="Times New Roman" w:hAnsi="Times New Roman" w:cs="Times New Roman"/>
          <w:sz w:val="24"/>
          <w:szCs w:val="24"/>
          <w:lang w:val="az-Latn-AZ"/>
        </w:rPr>
        <w:t>Qarşılıqlı faydalı sahələri və əməkdaşlıq imkanlarını müəyyən etmək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gücləndirmək və qarşılıqlı mübadiləni təşviq etmək məqsədilə;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40FAA" w:rsidRPr="00D40FAA">
        <w:rPr>
          <w:rFonts w:ascii="Times New Roman" w:hAnsi="Times New Roman" w:cs="Times New Roman"/>
          <w:i/>
          <w:iCs/>
          <w:sz w:val="24"/>
          <w:szCs w:val="24"/>
          <w:highlight w:val="yellow"/>
          <w:lang w:val="az-Latn-AZ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 </w:t>
      </w:r>
      <w:r w:rsidR="00D40FAA" w:rsidRPr="00D40FAA">
        <w:rPr>
          <w:rFonts w:ascii="Times New Roman" w:hAnsi="Times New Roman" w:cs="Times New Roman"/>
          <w:b/>
          <w:bCs/>
          <w:sz w:val="24"/>
          <w:szCs w:val="24"/>
          <w:highlight w:val="yellow"/>
          <w:lang w:val="az-Latn-AZ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Pr="00CC5279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Gençlik caddesi № 12, Bornova, İzmir/Türkiyə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</w:t>
      </w:r>
      <w:r w:rsidR="00E60600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7244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EGE UNİVERSİTETİ</w:t>
      </w:r>
      <w:r w:rsidR="00070BF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(bundan sonra Tərəflər adlandırılacaq)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D4DAB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arasında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imzalanacaq </w:t>
      </w:r>
      <w:r w:rsidR="00D53A76" w:rsidRPr="007C2D11">
        <w:rPr>
          <w:rFonts w:ascii="Times New Roman" w:hAnsi="Times New Roman" w:cs="Times New Roman"/>
          <w:sz w:val="24"/>
          <w:szCs w:val="24"/>
          <w:lang w:val="az-Latn-AZ"/>
        </w:rPr>
        <w:t>müqavilədə</w:t>
      </w:r>
      <w:r w:rsidR="00D53A7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52E82">
        <w:rPr>
          <w:rFonts w:ascii="Times New Roman" w:hAnsi="Times New Roman" w:cs="Times New Roman"/>
          <w:sz w:val="24"/>
          <w:szCs w:val="24"/>
          <w:lang w:val="az-Latn-AZ"/>
        </w:rPr>
        <w:t>aşağıdakı müddəalar üzrə razılaşma əldə edilmişdir:</w:t>
      </w:r>
    </w:p>
    <w:p w14:paraId="5C6510D4" w14:textId="2A36CA81" w:rsidR="004D4DAB" w:rsidRPr="00A52E82" w:rsidRDefault="00A52E82" w:rsidP="00E46067">
      <w:pPr>
        <w:pStyle w:val="Balk1"/>
        <w:tabs>
          <w:tab w:val="left" w:pos="284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1. Əməkdaşlıq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S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ahələri</w:t>
      </w:r>
    </w:p>
    <w:p w14:paraId="33622953" w14:textId="311ABA61" w:rsidR="004D4DAB" w:rsidRPr="004C2C9D" w:rsidRDefault="00070BF0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Tərəflər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arasında əməkdaşlıq akademik və mədəni əlaqələrin inkişaf etdirilməsi perspektivindən həyata keçiriləcək. Bu əməkdaşlıq iki </w:t>
      </w:r>
      <w:r w:rsidR="00560C29">
        <w:rPr>
          <w:rFonts w:ascii="Times New Roman" w:hAnsi="Times New Roman" w:cs="Times New Roman"/>
          <w:sz w:val="24"/>
          <w:szCs w:val="24"/>
          <w:lang w:val="az-Latn-AZ"/>
        </w:rPr>
        <w:t>təhsil müəssisəsində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təklif olunan bütün sahələr və fənlər üzrə təhsil və tədqiqat fəaliyyətlərini əhatə edəcək.</w:t>
      </w:r>
    </w:p>
    <w:p w14:paraId="6F0E20EF" w14:textId="438017BE" w:rsidR="00E42625" w:rsidRPr="00A52E82" w:rsidRDefault="00A52E82" w:rsidP="00E46067">
      <w:pPr>
        <w:pStyle w:val="Balk1"/>
        <w:tabs>
          <w:tab w:val="left" w:pos="993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2.</w:t>
      </w:r>
      <w:r w:rsidR="00560C2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Əməkdaşlıq Formatları</w:t>
      </w:r>
    </w:p>
    <w:p w14:paraId="1B38CFE7" w14:textId="11D9653E" w:rsidR="000A6927" w:rsidRPr="00E46067" w:rsidRDefault="00560C29" w:rsidP="00E46067">
      <w:pPr>
        <w:pStyle w:val="ListeParagraf"/>
        <w:numPr>
          <w:ilvl w:val="1"/>
          <w:numId w:val="15"/>
        </w:numPr>
        <w:tabs>
          <w:tab w:val="left" w:pos="18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əməkdaşlıq əlaqələrinin aşağıdakı sahələri əhatə edəcə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6260A03" w14:textId="77777777" w:rsidR="000A6927" w:rsidRDefault="000A6927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BBF158" w14:textId="23D921F6" w:rsidR="000A6927" w:rsidRPr="000A6927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qanunvericiliyə, qaydalara və </w:t>
      </w:r>
      <w:r w:rsidR="008029F4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heyətinin və/və ya elmi işçilərin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0301DC95" w14:textId="540A2AEB" w:rsidR="000A6927" w:rsidRPr="000A6927" w:rsidRDefault="00AF599E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Hər iki müəssisədən doktorantura və dissertantura üzrə dissertasiya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 xml:space="preserve"> işi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hazırlayan akademik heyətin və/və ya tədqiqatçıların </w:t>
      </w:r>
      <w:r w:rsidR="000F401F">
        <w:rPr>
          <w:rFonts w:ascii="Times New Roman" w:hAnsi="Times New Roman" w:cs="Times New Roman"/>
          <w:sz w:val="24"/>
          <w:szCs w:val="24"/>
          <w:lang w:val="az-Latn-AZ"/>
        </w:rPr>
        <w:t xml:space="preserve">müəssisələr tərəfindən 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>qəbulunun asanlaşdırılması;</w:t>
      </w:r>
    </w:p>
    <w:p w14:paraId="074B2FB2" w14:textId="5BF8AA94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 və tədqiqatçıları tərəfindən birgə tədqiqatın və tədqiqat nəticələrinin nəşrinin təşviq edilməsi;</w:t>
      </w:r>
    </w:p>
    <w:p w14:paraId="1FDEE0C9" w14:textId="56283AEB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>qanunvericiliyə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, müddəalara və qaydalara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 təhsil alan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tələbə</w:t>
      </w:r>
      <w:r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2F317B47" w14:textId="19DF7335" w:rsidR="000F401F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İstinad məlumatlarının, nəşrlərin, 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tədris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resursları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ədəbiyyatın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318EB777" w14:textId="7FD43FF5" w:rsidR="002C5140" w:rsidRDefault="000F401F" w:rsidP="006644AB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076CE">
        <w:rPr>
          <w:rFonts w:ascii="Times New Roman" w:hAnsi="Times New Roman" w:cs="Times New Roman"/>
          <w:sz w:val="24"/>
          <w:szCs w:val="24"/>
          <w:lang w:val="az-Latn-AZ"/>
        </w:rPr>
        <w:t>Tədris müəssisələri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və kolleclərə, elmi-tədqiqat laboratoriyalarına və mərkəzlərinə, kitabxanalara və hər bir 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müxtəlif inzibati orqanlarına bağlı inzibati və katib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lik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heyətin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asanlaşdırmaq</w:t>
      </w:r>
      <w:r w:rsidR="008076CE" w:rsidRPr="008076CE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CA69A96" w14:textId="6E851447" w:rsidR="008076CE" w:rsidRDefault="008076CE" w:rsidP="008076CE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67D2F2" w14:textId="77777777" w:rsidR="008076CE" w:rsidRPr="008076CE" w:rsidRDefault="008076CE" w:rsidP="008076CE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63FA3E" w14:textId="25157B5B" w:rsidR="000F401F" w:rsidRPr="00E46067" w:rsidRDefault="00B43129" w:rsidP="00E46067">
      <w:pPr>
        <w:pStyle w:val="ListeParagraf"/>
        <w:numPr>
          <w:ilvl w:val="1"/>
          <w:numId w:val="15"/>
        </w:numPr>
        <w:tabs>
          <w:tab w:val="left" w:pos="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Bu memorandumda qeyd olunan müddəalar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istisna olmaqla, İki Tərəfli Əməkdaşlıq Memorandumuna istinadən həyata keçirilən fəaliyyətlərlə bağlı hər növ şərtlər həm müəssisələr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həm də müvafiq tərəflərin müzakirələri əsasında və fəaliyyətə başlamazdan əvvəl yazılı qaydada razılaşdırılır.  </w:t>
      </w:r>
    </w:p>
    <w:p w14:paraId="63C4B2B3" w14:textId="6B5F7E87" w:rsidR="00FD4E21" w:rsidRPr="00A52E82" w:rsidRDefault="00A52E82" w:rsidP="00E46067">
      <w:pPr>
        <w:pStyle w:val="Balk1"/>
        <w:tabs>
          <w:tab w:val="left" w:pos="1276"/>
          <w:tab w:val="left" w:pos="1560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lastRenderedPageBreak/>
        <w:t>Maddə 3.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Müəllim və Elmi İşçi Mübadiləsi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</w:t>
      </w:r>
    </w:p>
    <w:p w14:paraId="36D77C12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mövcud qanunvericiliyə, qaydalara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digər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işçilərin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səfərlərini asanlaşdırmağa çalışacaq. Ziyarət edən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 və elmi işçilər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universitetin qaydalarına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şərtnamələrinə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tabe olacaqlar.</w:t>
      </w:r>
    </w:p>
    <w:p w14:paraId="1D4DF4BD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digər tərəfin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müəllim və ya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könüllü şəkildə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maliyyə dəstəyi göstərə bilər.</w:t>
      </w:r>
    </w:p>
    <w:p w14:paraId="377750B4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universitetdən gələn müəllim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yaşayış yerinin təmin edilməsində köməklik göstərəcək, lakin onlardan yaşayış yeri təmin etmək tələb olunmur.</w:t>
      </w:r>
    </w:p>
    <w:p w14:paraId="6BD95A16" w14:textId="10CA2EEF" w:rsidR="00141670" w:rsidRP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müəssisələrdən gələn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müəllim və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tədqiqat sahəsindən, kitabxanalardan və digər imkanlardan istifadə, dərslər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pulsuz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iştirak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mümkün olduqda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bənzər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dəstəyi təmin etməy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 qəbul edir</w:t>
      </w:r>
      <w:r w:rsidR="009565CD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324F327" w14:textId="5DABDA4C" w:rsidR="00244B14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4.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Tələbə Mübadiləsi</w:t>
      </w:r>
    </w:p>
    <w:p w14:paraId="740125B1" w14:textId="77777777" w:rsidR="00E46067" w:rsidRDefault="00244B14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zəruri gördüyü halda bakalavr və magistratura dərəcəsində təhsil alan tələbə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həyata keçirə bilər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87011E0" w14:textId="77777777" w:rsidR="00E46067" w:rsidRDefault="00AD48E8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müəssisə,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üəssisənin yekun təsdiqinə tabe olaraq mübadilə proqramında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iştirak edəcək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tələbələrin seçilməsindən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Təhsil haqqı 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>ilə bağlı qərar müvafiq müəssisələr tərəfindən daha sonra imzalanacaq razılaşma ilə müəyyənlə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dirilir. Müəssisələr sığorta, tələbə birlikləri və b. az məbləğli xərclərin ödənilməsini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istəyə bilər, əlavə olaraq surət çıxartma, laboratoriya materialları və bunun kimi materialların istifadəsində 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qonaq tələbələrin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öz tələbələri ilə eyni öhdəliklərdən istifadə etməsi mümkündür.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CD0DFD1" w14:textId="77777777" w:rsidR="00E46067" w:rsidRDefault="008E2B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müəssisə qonaq tələbələr üçün y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aşayış yeri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təmin edilməsinə köməklik göstərəcək; ancaq yaşayış yerinin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təşkili və bununla bağlı xərclər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qonaq tələbələrin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öz öhdəsindədir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onlar tərəfindən ödəniləcək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übadilə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proqram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ında iştirak edən tələbə və ya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>professor-müəllim heyəti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gəliş-gediş planı və yol xərclərindən yalnız özü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Pasport, viza, kommunikasiya xidmətləri, dərslik və digər şəxsi vergilər kimi əlavə xərclər də tələbə tərəfində ödənilir.</w:t>
      </w:r>
    </w:p>
    <w:p w14:paraId="420495D9" w14:textId="6D00A543" w:rsidR="003E7E7A" w:rsidRPr="00E46067" w:rsidRDefault="00B639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universitet müəyyən təqaüdlər təyin etməklə tələbələr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ə maliyyə dəstəyi verə bilər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hər bir müəssisə məcburi şərt kimi 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tələbə mübadiləsində iştirak edərkən iştirakçılardan öz tibbi/sağlamlıq sığortasını ödəmələrini tələb edəcək və bütün tələbələr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üəssisəyə belə sığortanın olduğuna dair sənəd təqdim etməlidir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B7740E8" w14:textId="70CDDBD4" w:rsidR="003E7E7A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5.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Memorandum </w:t>
      </w:r>
      <w:r w:rsidR="000807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İdarəçiləri</w:t>
      </w:r>
    </w:p>
    <w:p w14:paraId="5B24A4BA" w14:textId="638CEE26" w:rsidR="003E7E7A" w:rsidRPr="004C2C9D" w:rsidRDefault="000807F3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807F3">
        <w:rPr>
          <w:rFonts w:ascii="Times New Roman" w:hAnsi="Times New Roman" w:cs="Times New Roman"/>
          <w:sz w:val="24"/>
          <w:szCs w:val="24"/>
          <w:lang w:val="az-Latn-AZ"/>
        </w:rPr>
        <w:t>Bu iki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tərəfli əməkdaşlıq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memorandumunun icrasından yekun məsul şəxs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rektoru/rəhbəri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olmaqla bərabər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idarə olunması üzrə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inzibati məsuliyyət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aşağıdakı vəzifəli şəxslərə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/bölmələrə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həvalə olunacaq</w:t>
      </w:r>
      <w:r w:rsidR="00AA3C8F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75E0DED" w14:textId="273FA611" w:rsidR="00AA3C8F" w:rsidRDefault="000807F3" w:rsidP="00344E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Ege Universitetində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  <w:r w:rsidR="00344E8F" w:rsidRPr="00344E8F">
        <w:rPr>
          <w:rFonts w:ascii="Times New Roman" w:hAnsi="Times New Roman" w:cs="Times New Roman"/>
          <w:sz w:val="24"/>
          <w:szCs w:val="24"/>
          <w:lang w:val="az-Latn-AZ"/>
        </w:rPr>
        <w:t>Türk Dünyası ilə Əlaqələr və Orhun Koordinasiya</w:t>
      </w:r>
      <w:r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488ED98A" w14:textId="37B2A8CD" w:rsidR="00AA3C8F" w:rsidRPr="00D53A76" w:rsidRDefault="00D53A76" w:rsidP="00344E8F">
      <w:pPr>
        <w:pStyle w:val="ListeParagraf"/>
        <w:numPr>
          <w:ilvl w:val="0"/>
          <w:numId w:val="11"/>
        </w:numPr>
        <w:spacing w:before="240"/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  <w:r w:rsidRPr="00D53A76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 xml:space="preserve">..... Universitetində üçün: Xarici əlaqələr şöbəsi </w:t>
      </w:r>
    </w:p>
    <w:p w14:paraId="6A308CE9" w14:textId="30D077C0" w:rsidR="004C2C9D" w:rsidRPr="00AA3C8F" w:rsidRDefault="00A52E82" w:rsidP="00AA3C8F">
      <w:pPr>
        <w:tabs>
          <w:tab w:val="left" w:pos="284"/>
          <w:tab w:val="left" w:pos="1134"/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Maddə 6. </w:t>
      </w:r>
      <w:r w:rsidR="00D97F53"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Memorandumun Qüvvədə Olduğu Müddət</w:t>
      </w:r>
    </w:p>
    <w:p w14:paraId="7FC5A252" w14:textId="77777777" w:rsidR="00E46067" w:rsidRDefault="00D97F53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Əməkdaşlıq Memorandumu hər iki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idarəetmə orqanları tərəfindən təsdiqləndiyi tarixdə qüvvəyə minir və beş (5) il müddətin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qüvvədədir.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g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ər tərəflərdən biri memoranduma xitam vermək və ya dəyişiklik etmək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haqqında qarşı tərəfə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altı ay əvvəlcədən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bildiriş təqdim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etməzsə, bu memorandum eyni şərtlər və qaydada yenilənir.</w:t>
      </w:r>
    </w:p>
    <w:p w14:paraId="0C678635" w14:textId="77777777" w:rsidR="00E46067" w:rsidRDefault="005B2960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Tərəflərdən hər hansı biri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tərəfə altı ay əvvəlcədən sifarişli poçt vasitəsilə yazılı olaraq rəsmi bildiriş göndərmə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si halında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İki Tərəfli Əməkdaşlıq Memorandumuna xitam verilə bilər.</w:t>
      </w:r>
    </w:p>
    <w:p w14:paraId="17A82DBD" w14:textId="77777777" w:rsidR="00DF3F38" w:rsidRDefault="00D11704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İki Tərəfli Əməkdaşlıq Memorandumunun müddəalarına hər iki universitetin yazılı təsdiqi ilə istənilən zaman əlavə və dəyişikliklər edilə bilər. </w:t>
      </w:r>
    </w:p>
    <w:p w14:paraId="5089B875" w14:textId="74EAEE79" w:rsidR="00DF3F38" w:rsidRDefault="00344E8F" w:rsidP="00D071FE">
      <w:pPr>
        <w:pStyle w:val="ListeParagraf"/>
        <w:numPr>
          <w:ilvl w:val="1"/>
          <w:numId w:val="18"/>
        </w:numPr>
        <w:spacing w:line="25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Bu protokol Türk və 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>Azərbaycan Türkcəsi dillərində imzalanmışdır və bütün</w:t>
      </w:r>
      <w:r w:rsidR="00D071F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>mətnlər bərabər qüvvədədir. Mətnlər arasında fərq olduğu halda İngiliscə mətn nəzərə alınacaq.</w:t>
      </w:r>
    </w:p>
    <w:p w14:paraId="04A9D7D9" w14:textId="55E04447" w:rsidR="00E46067" w:rsidRPr="00DF3F38" w:rsidRDefault="00D11704" w:rsidP="00DF3F38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F3F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DB5085B" w14:textId="77777777" w:rsidR="00D33B84" w:rsidRPr="00D33B84" w:rsidRDefault="00D33B84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33B84">
        <w:rPr>
          <w:rFonts w:ascii="Times New Roman" w:hAnsi="Times New Roman" w:cs="Times New Roman"/>
          <w:sz w:val="24"/>
          <w:szCs w:val="24"/>
          <w:lang w:val="az-Latn-AZ"/>
        </w:rPr>
        <w:t>Yuxarıda qeyd olunanlar nəzərə alaraq tərəflər bu Razılaşma Memorandumunu imzaladılar:</w:t>
      </w:r>
    </w:p>
    <w:p w14:paraId="457F15B4" w14:textId="77777777" w:rsidR="00D11704" w:rsidRPr="00D11704" w:rsidRDefault="00D11704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5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48E8" w:rsidRPr="00A52E82" w14:paraId="1A8F0D71" w14:textId="77777777" w:rsidTr="00D11704">
        <w:tc>
          <w:tcPr>
            <w:tcW w:w="4672" w:type="dxa"/>
          </w:tcPr>
          <w:p w14:paraId="7C940428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55706CF7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5111213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0AEF54A6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D48E8" w:rsidRPr="00A52E82" w14:paraId="6C06F7ED" w14:textId="77777777" w:rsidTr="00D11704">
        <w:tc>
          <w:tcPr>
            <w:tcW w:w="4672" w:type="dxa"/>
          </w:tcPr>
          <w:p w14:paraId="7D03772C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EGE UNİVERSİTETİ</w:t>
            </w:r>
          </w:p>
        </w:tc>
        <w:tc>
          <w:tcPr>
            <w:tcW w:w="4673" w:type="dxa"/>
          </w:tcPr>
          <w:p w14:paraId="5841B699" w14:textId="5F0D09A0" w:rsidR="00AD48E8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...........................................</w:t>
            </w:r>
          </w:p>
        </w:tc>
      </w:tr>
      <w:tr w:rsidR="00AD48E8" w14:paraId="0CB1C79E" w14:textId="77777777" w:rsidTr="00D11704">
        <w:tc>
          <w:tcPr>
            <w:tcW w:w="4672" w:type="dxa"/>
          </w:tcPr>
          <w:p w14:paraId="626231F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C2395BD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imzalanmışdır.</w:t>
            </w:r>
          </w:p>
          <w:p w14:paraId="2C3458AA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F3A45E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998881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  <w:tc>
          <w:tcPr>
            <w:tcW w:w="4673" w:type="dxa"/>
          </w:tcPr>
          <w:p w14:paraId="5BA96D7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DD92DEC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imzalanmışdır.</w:t>
            </w:r>
          </w:p>
          <w:p w14:paraId="5FC37958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913112A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1B865D30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</w:tr>
      <w:tr w:rsidR="00AD48E8" w14:paraId="39A1738C" w14:textId="77777777" w:rsidTr="00D11704">
        <w:tc>
          <w:tcPr>
            <w:tcW w:w="4672" w:type="dxa"/>
          </w:tcPr>
          <w:p w14:paraId="1B43AF53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EA9BC1A" w14:textId="173798EB" w:rsidR="00AD48E8" w:rsidRPr="00682346" w:rsidRDefault="00682346" w:rsidP="00682346">
            <w:pPr>
              <w:pStyle w:val="msobodytextindent2"/>
              <w:ind w:left="179" w:firstLine="0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P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>rof.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Dr.</w:t>
            </w:r>
            <w:proofErr w:type="spellEnd"/>
            <w:r>
              <w:rPr>
                <w:b/>
                <w:bCs/>
                <w:sz w:val="22"/>
              </w:rPr>
              <w:t xml:space="preserve"> Murat BOYACI</w:t>
            </w:r>
          </w:p>
        </w:tc>
        <w:tc>
          <w:tcPr>
            <w:tcW w:w="4673" w:type="dxa"/>
          </w:tcPr>
          <w:p w14:paraId="20A1E6B9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E1D004D" w14:textId="180C5E29" w:rsidR="00AD48E8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..........................</w:t>
            </w:r>
          </w:p>
        </w:tc>
      </w:tr>
      <w:tr w:rsidR="00AD48E8" w14:paraId="339EE323" w14:textId="77777777" w:rsidTr="00D11704">
        <w:tc>
          <w:tcPr>
            <w:tcW w:w="4672" w:type="dxa"/>
          </w:tcPr>
          <w:p w14:paraId="01DA9928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Prorektor</w:t>
            </w:r>
          </w:p>
        </w:tc>
        <w:tc>
          <w:tcPr>
            <w:tcW w:w="4673" w:type="dxa"/>
          </w:tcPr>
          <w:p w14:paraId="3A323819" w14:textId="49C42EC2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R</w:t>
            </w:r>
            <w:r w:rsidR="002F0829"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əis</w:t>
            </w:r>
          </w:p>
        </w:tc>
      </w:tr>
      <w:tr w:rsidR="00AD48E8" w14:paraId="069BA757" w14:textId="77777777" w:rsidTr="00D11704">
        <w:tc>
          <w:tcPr>
            <w:tcW w:w="4672" w:type="dxa"/>
          </w:tcPr>
          <w:p w14:paraId="717C8E34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2684E9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AD48E8" w:rsidRPr="00AA3C8F" w14:paraId="24FE042C" w14:textId="77777777" w:rsidTr="00D11704">
        <w:tc>
          <w:tcPr>
            <w:tcW w:w="4672" w:type="dxa"/>
          </w:tcPr>
          <w:p w14:paraId="1C6F55BA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6387EFC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Rektor</w:t>
            </w:r>
          </w:p>
          <w:p w14:paraId="706C6F26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EGE UNİVERSİTETİ</w:t>
            </w:r>
          </w:p>
        </w:tc>
        <w:tc>
          <w:tcPr>
            <w:tcW w:w="4673" w:type="dxa"/>
          </w:tcPr>
          <w:p w14:paraId="0AF0EA56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75A9D83" w14:textId="5C535B2C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R</w:t>
            </w:r>
            <w:r w:rsidR="002F0829"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əis</w:t>
            </w:r>
          </w:p>
          <w:p w14:paraId="6998C658" w14:textId="1EA8AFA9" w:rsidR="00AD48E8" w:rsidRPr="00727475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............................................</w:t>
            </w:r>
          </w:p>
        </w:tc>
      </w:tr>
    </w:tbl>
    <w:p w14:paraId="24D84D38" w14:textId="34D488CC" w:rsidR="004C2C9D" w:rsidRPr="00D11704" w:rsidRDefault="004C2C9D" w:rsidP="008076CE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4C2C9D" w:rsidRPr="00D1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DD7"/>
    <w:multiLevelType w:val="hybridMultilevel"/>
    <w:tmpl w:val="629EA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D1B9A"/>
    <w:multiLevelType w:val="multilevel"/>
    <w:tmpl w:val="17AA4B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36F36"/>
    <w:multiLevelType w:val="hybridMultilevel"/>
    <w:tmpl w:val="2F7C0FC6"/>
    <w:lvl w:ilvl="0" w:tplc="E4FADB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7DB"/>
    <w:multiLevelType w:val="hybridMultilevel"/>
    <w:tmpl w:val="7E5864B4"/>
    <w:lvl w:ilvl="0" w:tplc="D8BAE11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37F6DDE"/>
    <w:multiLevelType w:val="hybridMultilevel"/>
    <w:tmpl w:val="71B005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0F2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B655EE"/>
    <w:multiLevelType w:val="multilevel"/>
    <w:tmpl w:val="B6E86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E4D74"/>
    <w:multiLevelType w:val="hybridMultilevel"/>
    <w:tmpl w:val="B2E44E2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52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4633E7"/>
    <w:multiLevelType w:val="hybridMultilevel"/>
    <w:tmpl w:val="2C28744E"/>
    <w:lvl w:ilvl="0" w:tplc="0E261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6976"/>
    <w:multiLevelType w:val="multilevel"/>
    <w:tmpl w:val="4492F4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B34803"/>
    <w:multiLevelType w:val="hybridMultilevel"/>
    <w:tmpl w:val="A732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3E37"/>
    <w:multiLevelType w:val="multilevel"/>
    <w:tmpl w:val="258AA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7D05AB"/>
    <w:multiLevelType w:val="multilevel"/>
    <w:tmpl w:val="57A6D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57BD0"/>
    <w:multiLevelType w:val="hybridMultilevel"/>
    <w:tmpl w:val="6FAA26D4"/>
    <w:lvl w:ilvl="0" w:tplc="4B0463B4">
      <w:start w:val="1"/>
      <w:numFmt w:val="lowerRoman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5C97351"/>
    <w:multiLevelType w:val="hybridMultilevel"/>
    <w:tmpl w:val="F41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04A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2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EB"/>
    <w:rsid w:val="000565CF"/>
    <w:rsid w:val="00070BF0"/>
    <w:rsid w:val="000807F3"/>
    <w:rsid w:val="0009733F"/>
    <w:rsid w:val="000A3BC5"/>
    <w:rsid w:val="000A6927"/>
    <w:rsid w:val="000F401F"/>
    <w:rsid w:val="00100DA9"/>
    <w:rsid w:val="00141670"/>
    <w:rsid w:val="00167E1F"/>
    <w:rsid w:val="00187E35"/>
    <w:rsid w:val="001A6DBF"/>
    <w:rsid w:val="001B6461"/>
    <w:rsid w:val="00244B14"/>
    <w:rsid w:val="0025469A"/>
    <w:rsid w:val="002C09EB"/>
    <w:rsid w:val="002C5140"/>
    <w:rsid w:val="002D3B64"/>
    <w:rsid w:val="002F0829"/>
    <w:rsid w:val="00344E8F"/>
    <w:rsid w:val="00382368"/>
    <w:rsid w:val="003E7E7A"/>
    <w:rsid w:val="003F68F8"/>
    <w:rsid w:val="00464A88"/>
    <w:rsid w:val="004C2C9D"/>
    <w:rsid w:val="004D0E5A"/>
    <w:rsid w:val="004D4DAB"/>
    <w:rsid w:val="00560C29"/>
    <w:rsid w:val="005964EB"/>
    <w:rsid w:val="005A4CB6"/>
    <w:rsid w:val="005B2960"/>
    <w:rsid w:val="005E2154"/>
    <w:rsid w:val="0062188C"/>
    <w:rsid w:val="00663733"/>
    <w:rsid w:val="006725EC"/>
    <w:rsid w:val="00682346"/>
    <w:rsid w:val="006C40DC"/>
    <w:rsid w:val="006D3829"/>
    <w:rsid w:val="006E24AD"/>
    <w:rsid w:val="00705D73"/>
    <w:rsid w:val="00727475"/>
    <w:rsid w:val="00792BFA"/>
    <w:rsid w:val="007C2537"/>
    <w:rsid w:val="008029F4"/>
    <w:rsid w:val="008076CE"/>
    <w:rsid w:val="008578FC"/>
    <w:rsid w:val="00893042"/>
    <w:rsid w:val="008E2BB3"/>
    <w:rsid w:val="009565CD"/>
    <w:rsid w:val="0097371C"/>
    <w:rsid w:val="009775C0"/>
    <w:rsid w:val="00A0238C"/>
    <w:rsid w:val="00A52E82"/>
    <w:rsid w:val="00A72445"/>
    <w:rsid w:val="00AA3C8F"/>
    <w:rsid w:val="00AD39ED"/>
    <w:rsid w:val="00AD48E8"/>
    <w:rsid w:val="00AF599E"/>
    <w:rsid w:val="00B0576B"/>
    <w:rsid w:val="00B12B76"/>
    <w:rsid w:val="00B201CE"/>
    <w:rsid w:val="00B43129"/>
    <w:rsid w:val="00B53526"/>
    <w:rsid w:val="00B639B3"/>
    <w:rsid w:val="00BC15A2"/>
    <w:rsid w:val="00C90C38"/>
    <w:rsid w:val="00CC5279"/>
    <w:rsid w:val="00D071FE"/>
    <w:rsid w:val="00D11704"/>
    <w:rsid w:val="00D33B84"/>
    <w:rsid w:val="00D40FAA"/>
    <w:rsid w:val="00D53A76"/>
    <w:rsid w:val="00D54331"/>
    <w:rsid w:val="00D97F53"/>
    <w:rsid w:val="00DB6F38"/>
    <w:rsid w:val="00DE5744"/>
    <w:rsid w:val="00DF3F38"/>
    <w:rsid w:val="00E42625"/>
    <w:rsid w:val="00E46067"/>
    <w:rsid w:val="00E60600"/>
    <w:rsid w:val="00EB1F29"/>
    <w:rsid w:val="00EE66A5"/>
    <w:rsid w:val="00F757E4"/>
    <w:rsid w:val="00F77625"/>
    <w:rsid w:val="00FD4E21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A9F0"/>
  <w15:chartTrackingRefBased/>
  <w15:docId w15:val="{93894331-20D8-4E40-ADB1-AEA191D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E42625"/>
    <w:pPr>
      <w:ind w:left="720"/>
      <w:contextualSpacing/>
    </w:pPr>
  </w:style>
  <w:style w:type="table" w:styleId="TabloKlavuzu">
    <w:name w:val="Table Grid"/>
    <w:basedOn w:val="NormalTablo"/>
    <w:uiPriority w:val="39"/>
    <w:rsid w:val="004C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0BF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B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B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B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B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BF0"/>
    <w:rPr>
      <w:b/>
      <w:bCs/>
      <w:sz w:val="20"/>
      <w:szCs w:val="20"/>
    </w:rPr>
  </w:style>
  <w:style w:type="paragraph" w:customStyle="1" w:styleId="msobodytextindent2">
    <w:name w:val="msobodytextindent2"/>
    <w:basedOn w:val="Normal"/>
    <w:rsid w:val="00682346"/>
    <w:pPr>
      <w:spacing w:after="0" w:line="240" w:lineRule="auto"/>
      <w:ind w:left="792" w:hanging="792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289C-0F7B-49AD-A2DC-9AD22008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Dadashov</dc:creator>
  <cp:keywords/>
  <dc:description/>
  <cp:lastModifiedBy>TD56</cp:lastModifiedBy>
  <cp:revision>6</cp:revision>
  <dcterms:created xsi:type="dcterms:W3CDTF">2024-03-22T07:17:00Z</dcterms:created>
  <dcterms:modified xsi:type="dcterms:W3CDTF">2026-02-27T06:11:00Z</dcterms:modified>
</cp:coreProperties>
</file>